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E56" w:rsidRDefault="004D07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96E56" w:rsidRDefault="00C96E56">
      <w:pPr>
        <w:spacing w:line="420" w:lineRule="exact"/>
        <w:jc w:val="center"/>
        <w:rPr>
          <w:rFonts w:ascii="Arial" w:hAnsi="Arial" w:cs="Arial"/>
          <w:b/>
          <w:snapToGrid/>
          <w:sz w:val="32"/>
          <w:szCs w:val="32"/>
        </w:rPr>
      </w:pPr>
    </w:p>
    <w:p w:rsidR="00C96E56" w:rsidRDefault="004D07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96E56" w:rsidRDefault="00C96E56">
      <w:pPr>
        <w:spacing w:line="420" w:lineRule="exact"/>
        <w:jc w:val="both"/>
        <w:rPr>
          <w:rFonts w:ascii="Arial" w:hAnsi="Arial" w:cs="Arial"/>
          <w:snapToGrid/>
        </w:rPr>
      </w:pPr>
    </w:p>
    <w:p w:rsidR="00C96E56" w:rsidRDefault="004D07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96E56" w:rsidRDefault="004D07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96E56" w:rsidRDefault="00C96E56">
      <w:pPr>
        <w:spacing w:line="420" w:lineRule="exact"/>
        <w:jc w:val="both"/>
        <w:rPr>
          <w:rFonts w:ascii="Arial" w:hAnsi="Arial" w:cs="Arial"/>
          <w:i/>
          <w:snapToGrid/>
          <w:color w:val="0099FF"/>
          <w:sz w:val="18"/>
          <w:szCs w:val="18"/>
        </w:rPr>
      </w:pPr>
    </w:p>
    <w:p w:rsidR="00C96E56" w:rsidRDefault="004D07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96E56" w:rsidRDefault="00C96E56">
      <w:pPr>
        <w:pStyle w:val="a8"/>
        <w:spacing w:before="0" w:after="0" w:line="240" w:lineRule="auto"/>
        <w:jc w:val="left"/>
        <w:rPr>
          <w:rFonts w:ascii="Arial" w:hAnsi="Arial" w:cs="Arial"/>
          <w:bCs w:val="0"/>
          <w:sz w:val="21"/>
          <w:szCs w:val="21"/>
        </w:rPr>
      </w:pPr>
    </w:p>
    <w:p w:rsidR="00C96E56" w:rsidRDefault="004D07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-HTML-Parser 3.76</w:t>
      </w:r>
    </w:p>
    <w:p w:rsidR="00C96E56" w:rsidRDefault="004D0738">
      <w:pPr>
        <w:rPr>
          <w:rFonts w:ascii="Arial" w:hAnsi="Arial" w:cs="Arial"/>
          <w:b/>
        </w:rPr>
      </w:pPr>
      <w:r>
        <w:rPr>
          <w:rFonts w:ascii="Arial" w:hAnsi="Arial" w:cs="Arial"/>
          <w:b/>
        </w:rPr>
        <w:t xml:space="preserve">Copyright notice: </w:t>
      </w:r>
    </w:p>
    <w:p w:rsidR="00C96E56" w:rsidRDefault="004D0738">
      <w:pPr>
        <w:pStyle w:val="Default"/>
        <w:rPr>
          <w:rFonts w:ascii="宋体" w:hAnsi="宋体" w:cs="宋体"/>
          <w:sz w:val="22"/>
          <w:szCs w:val="22"/>
        </w:rPr>
      </w:pPr>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1997-1999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1995-2006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 All rights reserved.</w:t>
      </w:r>
      <w:r>
        <w:rPr>
          <w:rFonts w:ascii="宋体" w:hAnsi="宋体"/>
          <w:sz w:val="22"/>
        </w:rPr>
        <w:br/>
        <w:t xml:space="preserve">Copyright 1998-2005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r>
      <w:r>
        <w:rPr>
          <w:rFonts w:ascii="宋体" w:hAnsi="宋体"/>
          <w:sz w:val="22"/>
        </w:rPr>
        <w:t>Copyright 1999-2000, Michael A. Chase.</w:t>
      </w:r>
      <w:r>
        <w:rPr>
          <w:rFonts w:ascii="宋体" w:hAnsi="宋体"/>
          <w:sz w:val="22"/>
        </w:rPr>
        <w:br/>
        <w:t>Copyright 1999-2000 Michael A. Chase.  A</w:t>
      </w:r>
      <w:r>
        <w:rPr>
          <w:rFonts w:ascii="宋体" w:hAnsi="宋体"/>
          <w:sz w:val="22"/>
        </w:rPr>
        <w:t>ll rights reserved.</w:t>
      </w:r>
      <w:r>
        <w:rPr>
          <w:rFonts w:ascii="宋体" w:hAnsi="宋体"/>
          <w:sz w:val="22"/>
        </w:rPr>
        <w:br/>
        <w:t xml:space="preserve">Copyright 1999-2009,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r>
      <w:r>
        <w:rPr>
          <w:rFonts w:ascii="宋体" w:hAnsi="宋体"/>
          <w:sz w:val="22"/>
        </w:rPr>
        <w:t xml:space="preserve">Copyright 1998-2001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Copyright 1999-2000, Michael A. Chase</w:t>
      </w:r>
      <w:r>
        <w:rPr>
          <w:rFonts w:ascii="宋体" w:hAnsi="宋体"/>
          <w:sz w:val="22"/>
        </w:rPr>
        <w:br/>
        <w:t xml:space="preserve">Copyright 1996-2016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 All rights reserved.</w:t>
      </w:r>
      <w:r>
        <w:rPr>
          <w:rFonts w:ascii="宋体" w:hAnsi="宋体"/>
          <w:sz w:val="22"/>
        </w:rPr>
        <w:br/>
        <w:t xml:space="preserve">Copyright 1999-2016,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Copyright 1999</w:t>
      </w:r>
      <w:r>
        <w:rPr>
          <w:rFonts w:ascii="宋体" w:hAnsi="宋体"/>
          <w:sz w:val="22"/>
        </w:rPr>
        <w:t xml:space="preserve">-2016,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br/>
        <w:t xml:space="preserve">Copyright 1996-2001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 xml:space="preserve">Copyright 1996-2001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 All rights reserved.</w:t>
      </w:r>
      <w:r>
        <w:rPr>
          <w:rFonts w:ascii="宋体" w:hAnsi="宋体"/>
          <w:sz w:val="22"/>
        </w:rPr>
        <w:br/>
      </w:r>
      <w:bookmarkStart w:id="0" w:name="_GoBack"/>
      <w:bookmarkEnd w:id="0"/>
    </w:p>
    <w:p w:rsidR="00C96E56" w:rsidRDefault="004D0738">
      <w:pPr>
        <w:pStyle w:val="Default"/>
        <w:rPr>
          <w:rFonts w:ascii="宋体" w:hAnsi="宋体" w:cs="宋体"/>
          <w:sz w:val="22"/>
          <w:szCs w:val="22"/>
        </w:rPr>
      </w:pPr>
      <w:r>
        <w:rPr>
          <w:b/>
        </w:rPr>
        <w:t xml:space="preserve">License: </w:t>
      </w:r>
      <w:r>
        <w:rPr>
          <w:sz w:val="21"/>
        </w:rPr>
        <w:t>GPL+ or Artistic</w:t>
      </w:r>
    </w:p>
    <w:p w:rsidR="00C96E56" w:rsidRDefault="004D0738">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w:t>
      </w:r>
      <w:r>
        <w:rPr>
          <w:rFonts w:ascii="Times New Roman" w:hAnsi="Times New Roman"/>
          <w:sz w:val="21"/>
        </w:rPr>
        <w:t>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w:t>
      </w:r>
      <w:r>
        <w:rPr>
          <w:rFonts w:ascii="Times New Roman" w:hAnsi="Times New Roman"/>
          <w:sz w:val="21"/>
        </w:rPr>
        <w:t>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w:t>
      </w:r>
      <w:r>
        <w:rPr>
          <w:rFonts w:ascii="Times New Roman" w:hAnsi="Times New Roman"/>
          <w:sz w:val="21"/>
        </w:rPr>
        <w:t>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w:t>
      </w:r>
      <w:r>
        <w:rPr>
          <w:rFonts w:ascii="Times New Roman" w:hAnsi="Times New Roman"/>
          <w:sz w:val="21"/>
        </w:rPr>
        <w:t>price. Specifically, the General Public License is designed to make sure that you have the freedom to give away or sell copies of free software,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w:t>
      </w:r>
      <w:r>
        <w:rPr>
          <w:rFonts w:ascii="Times New Roman" w:hAnsi="Times New Roman"/>
          <w:sz w:val="21"/>
        </w:rPr>
        <w: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w:t>
      </w:r>
      <w:r>
        <w:rPr>
          <w:rFonts w:ascii="Times New Roman" w:hAnsi="Times New Roman"/>
          <w:sz w:val="21"/>
        </w:rPr>
        <w:t>,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Fonts w:ascii="Times New Roman" w:hAnsi="Times New Roman"/>
          <w:sz w:val="21"/>
        </w:rPr>
        <w:t>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w:t>
      </w:r>
      <w:r>
        <w:rPr>
          <w:rFonts w:ascii="Times New Roman" w:hAnsi="Times New Roman"/>
          <w:sz w:val="21"/>
        </w:rPr>
        <w:lastRenderedPageBreak/>
        <w:t xml:space="preserve">holder saying it may be distributed under the terms of this General Public License. The "Program", below, </w:t>
      </w:r>
      <w:r>
        <w:rPr>
          <w:rFonts w:ascii="Times New Roman" w:hAnsi="Times New Roman"/>
          <w:sz w:val="21"/>
        </w:rPr>
        <w:t>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w:t>
      </w:r>
      <w:r>
        <w:rPr>
          <w:rFonts w:ascii="Times New Roman" w:hAnsi="Times New Roman"/>
          <w:sz w:val="21"/>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sz w:val="21"/>
        </w:rPr>
        <w:t>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w:t>
      </w:r>
      <w:r>
        <w:rPr>
          <w:rFonts w:ascii="Times New Roman" w:hAnsi="Times New Roman"/>
          <w:sz w:val="21"/>
        </w:rPr>
        <w:t xml:space="preserve">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w:t>
      </w:r>
      <w:r>
        <w:rPr>
          <w:rFonts w:ascii="Times New Roman" w:hAnsi="Times New Roman"/>
          <w:sz w:val="21"/>
        </w:rPr>
        <w: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w:t>
      </w:r>
      <w:r>
        <w:rPr>
          <w:rFonts w:ascii="Times New Roman" w:hAnsi="Times New Roman"/>
          <w:sz w:val="21"/>
        </w:rPr>
        <w:t>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w:t>
      </w:r>
      <w:r>
        <w:rPr>
          <w:rFonts w:ascii="Times New Roman" w:hAnsi="Times New Roman"/>
          <w:sz w:val="21"/>
        </w:rPr>
        <w:t>ted running for such interactive use in the simplest and most usual way, to print or display an announcement including an appropriate copyright notice and a notice that there is no warranty (or else, saying that you provide a warranty) and that users may r</w:t>
      </w:r>
      <w:r>
        <w:rPr>
          <w:rFonts w:ascii="Times New Roman" w:hAnsi="Times New Roman"/>
          <w:sz w:val="21"/>
        </w:rPr>
        <w:t>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w:t>
      </w:r>
      <w:r>
        <w:rPr>
          <w:rFonts w:ascii="Times New Roman" w:hAnsi="Times New Roman"/>
          <w:sz w:val="21"/>
        </w:rPr>
        <w:t>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w:t>
      </w:r>
      <w:r>
        <w:rPr>
          <w:rFonts w:ascii="Times New Roman" w:hAnsi="Times New Roman"/>
          <w:sz w:val="21"/>
        </w:rPr>
        <w:t>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w:t>
      </w:r>
      <w:r>
        <w:rPr>
          <w:rFonts w:ascii="Times New Roman" w:hAnsi="Times New Roman"/>
          <w:sz w:val="21"/>
        </w:rPr>
        <w:t xml:space="preserve">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w:t>
      </w:r>
      <w:r>
        <w:rPr>
          <w:rFonts w:ascii="Times New Roman" w:hAnsi="Times New Roman"/>
          <w:sz w:val="21"/>
        </w:rPr>
        <w:t>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w:t>
      </w:r>
      <w:r>
        <w:rPr>
          <w:rFonts w:ascii="Times New Roman" w:hAnsi="Times New Roman"/>
          <w:sz w:val="21"/>
        </w:rPr>
        <w:t xml:space="preserve"> code for all modules it contains; but, as a special exception, it need not include source code for modules which are standard libraries that accompany the operating system on which the executable file runs, or for standard header files or definitions file</w:t>
      </w:r>
      <w:r>
        <w:rPr>
          <w:rFonts w:ascii="Times New Roman" w:hAnsi="Times New Roman"/>
          <w:sz w:val="21"/>
        </w:rPr>
        <w:t>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w:t>
      </w:r>
      <w:r>
        <w:rPr>
          <w:rFonts w:ascii="Times New Roman" w:hAnsi="Times New Roman"/>
          <w:sz w:val="21"/>
        </w:rPr>
        <w:lastRenderedPageBreak/>
        <w:t>General Public License. Any attempt otherwise to copy, modify, sublicense, distribute or transfer t</w:t>
      </w:r>
      <w:r>
        <w:rPr>
          <w:rFonts w:ascii="Times New Roman" w:hAnsi="Times New Roman"/>
          <w:sz w:val="21"/>
        </w:rPr>
        <w:t>he Program is void, and will automatically terminate your rights to use the Program under this License. However, parties who have received copies, or rights to use copies, from you under this General Public License will not have their licenses terminated s</w:t>
      </w:r>
      <w:r>
        <w:rPr>
          <w:rFonts w:ascii="Times New Roman" w:hAnsi="Times New Roman"/>
          <w:sz w:val="21"/>
        </w:rPr>
        <w:t>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w:t>
      </w:r>
      <w:r>
        <w:rPr>
          <w:rFonts w:ascii="Times New Roman" w:hAnsi="Times New Roman"/>
          <w:sz w:val="21"/>
        </w:rPr>
        <w:t xml:space="preserve"> the Program (or any work based on the Program), the recipient automatically receives a license from the original licensor to copy, distribute or modify the Program subject to these terms and conditions. You may not impose any further restrictions on the r</w:t>
      </w:r>
      <w:r>
        <w:rPr>
          <w:rFonts w:ascii="Times New Roman" w:hAnsi="Times New Roman"/>
          <w:sz w:val="21"/>
        </w:rPr>
        <w:t>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w:t>
      </w:r>
      <w:r>
        <w:rPr>
          <w:rFonts w:ascii="Times New Roman" w:hAnsi="Times New Roman"/>
          <w:sz w:val="21"/>
        </w:rPr>
        <w:t xml:space="preserve">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w:t>
      </w:r>
      <w:r>
        <w:rPr>
          <w:rFonts w:ascii="Times New Roman" w:hAnsi="Times New Roman"/>
          <w:sz w:val="21"/>
        </w:rPr>
        <w:t>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w:t>
      </w:r>
      <w:r>
        <w:rPr>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Fonts w:ascii="Times New Roman" w:hAnsi="Times New Roman"/>
          <w:sz w:val="21"/>
        </w:rPr>
        <w:t>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LIABLE TO YOU </w:t>
      </w:r>
      <w:r>
        <w:rPr>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Fonts w:ascii="Times New Roman" w:hAnsi="Times New Roman"/>
          <w:sz w:val="21"/>
        </w:rPr>
        <w:t xml:space="preserve">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w:t>
      </w:r>
      <w:r>
        <w:rPr>
          <w:rFonts w:ascii="Times New Roman" w:hAnsi="Times New Roman"/>
          <w:sz w:val="21"/>
        </w:rPr>
        <w:t xml:space="preserve">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w:t>
      </w:r>
      <w:r>
        <w:rPr>
          <w:rFonts w:ascii="Times New Roman" w:hAnsi="Times New Roman"/>
          <w:sz w:val="21"/>
        </w:rPr>
        <w:t>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w:t>
      </w:r>
      <w:r>
        <w:rPr>
          <w:rFonts w:ascii="Times New Roman" w:hAnsi="Times New Roman"/>
          <w:sz w:val="21"/>
        </w:rPr>
        <w:t>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w:t>
      </w:r>
      <w:r>
        <w:rPr>
          <w:rFonts w:ascii="Times New Roman" w:hAnsi="Times New Roman"/>
          <w:sz w:val="21"/>
        </w:rPr>
        <w:t>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w:t>
      </w:r>
      <w:r>
        <w:rPr>
          <w:rFonts w:ascii="Times New Roman" w:hAnsi="Times New Roman"/>
          <w:sz w:val="21"/>
        </w:rPr>
        <w:t>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w:t>
      </w:r>
      <w:r>
        <w:rPr>
          <w:rFonts w:ascii="Times New Roman" w:hAnsi="Times New Roman"/>
          <w:sz w:val="21"/>
        </w:rPr>
        <w:t>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w:t>
      </w:r>
      <w:r>
        <w:rPr>
          <w:rFonts w:ascii="Times New Roman" w:hAnsi="Times New Roman"/>
          <w:sz w:val="21"/>
        </w:rPr>
        <w:t>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w:t>
      </w:r>
      <w:r>
        <w:rPr>
          <w:rFonts w:ascii="Times New Roman" w:hAnsi="Times New Roman"/>
          <w:sz w:val="21"/>
        </w:rPr>
        <w:t>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w:t>
      </w:r>
      <w:r>
        <w:rPr>
          <w:rFonts w:ascii="Times New Roman" w:hAnsi="Times New Roman"/>
          <w:sz w:val="21"/>
        </w:rPr>
        <w:t>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w:t>
      </w:r>
      <w:r>
        <w:rPr>
          <w:rFonts w:ascii="Times New Roman" w:hAnsi="Times New Roman"/>
          <w:sz w:val="21"/>
        </w:rPr>
        <w:t>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w:t>
      </w:r>
      <w:r>
        <w:rPr>
          <w:rFonts w:ascii="Times New Roman" w:hAnsi="Times New Roman"/>
          <w:sz w:val="21"/>
        </w:rPr>
        <w:t xml:space="preserve">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w:t>
      </w:r>
      <w:r>
        <w:rPr>
          <w:rFonts w:ascii="Times New Roman" w:hAnsi="Times New Roman"/>
          <w:sz w:val="21"/>
        </w:rPr>
        <w:t>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w:t>
      </w:r>
      <w:r>
        <w:rPr>
          <w:rFonts w:ascii="Times New Roman" w:hAnsi="Times New Roman"/>
          <w:sz w:val="21"/>
        </w:rPr>
        <w:t>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w:t>
      </w:r>
      <w:r>
        <w:rPr>
          <w:rFonts w:ascii="Times New Roman" w:hAnsi="Times New Roman"/>
          <w:sz w:val="21"/>
        </w:rPr>
        <w:t xml:space="preserve">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w:t>
      </w:r>
      <w:r>
        <w:rPr>
          <w:rFonts w:ascii="Times New Roman" w:hAnsi="Times New Roman"/>
          <w:sz w:val="21"/>
        </w:rPr>
        <w:t>ion or organization.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w:t>
      </w:r>
      <w:r>
        <w:rPr>
          <w:rFonts w:ascii="Times New Roman" w:hAnsi="Times New Roman"/>
          <w:sz w:val="21"/>
        </w:rPr>
        <w:t xml:space="preserve">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w:t>
      </w:r>
      <w:r>
        <w:rPr>
          <w:rFonts w:ascii="Times New Roman" w:hAnsi="Times New Roman"/>
          <w:sz w:val="21"/>
        </w:rPr>
        <w:t>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w:t>
      </w:r>
      <w:r>
        <w:rPr>
          <w:rFonts w:ascii="Times New Roman" w:hAnsi="Times New Roman"/>
          <w:sz w:val="21"/>
        </w:rPr>
        <w:t>company any non-standard executables with their corresponding Standard Version executables, giving the non-standard executables non-standard names, and clearly documenting the differences in manual pages (or equivalent), together with instructions on where</w:t>
      </w:r>
      <w:r>
        <w:rPr>
          <w:rFonts w:ascii="Times New Roman" w:hAnsi="Times New Roman"/>
          <w:sz w:val="21"/>
        </w:rPr>
        <w:t xml:space="preserv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w:t>
      </w:r>
      <w:r>
        <w:rPr>
          <w:rFonts w:ascii="Times New Roman" w:hAnsi="Times New Roman"/>
          <w:sz w:val="21"/>
        </w:rPr>
        <w:t>harge a fee for this Package itself. However, you may distribute this Package in aggregate with other (possibly commercial) programs as part of a larger (possibly commercial) software distribution provided that you do not advertise this Package as a produc</w:t>
      </w:r>
      <w:r>
        <w:rPr>
          <w:rFonts w:ascii="Times New Roman" w:hAnsi="Times New Roman"/>
          <w:sz w:val="21"/>
        </w:rPr>
        <w:t>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w:t>
      </w:r>
      <w:r>
        <w:rPr>
          <w:rFonts w:ascii="Times New Roman" w:hAnsi="Times New Roman"/>
          <w:sz w:val="21"/>
        </w:rPr>
        <w:t>,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w:t>
      </w:r>
      <w:r>
        <w:rPr>
          <w:rFonts w:ascii="Times New Roman" w:hAnsi="Times New Roman"/>
          <w:sz w:val="21"/>
        </w:rPr>
        <w:t xml:space="preserve">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w:t>
      </w:r>
      <w:r>
        <w:rPr>
          <w:rFonts w:ascii="Times New Roman" w:hAnsi="Times New Roman"/>
          <w:sz w:val="21"/>
        </w:rPr>
        <w:t>e End</w:t>
      </w:r>
    </w:p>
    <w:p w:rsidR="00C96E56" w:rsidRDefault="004D07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96E56" w:rsidRDefault="004D0738">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C96E56" w:rsidRDefault="004D0738">
      <w:pPr>
        <w:rPr>
          <w:rFonts w:ascii="Arial" w:hAnsi="Arial" w:cs="Arial"/>
          <w:color w:val="0000FF"/>
          <w:u w:val="single"/>
        </w:rPr>
      </w:pPr>
      <w:r>
        <w:rPr>
          <w:rFonts w:ascii="Arial" w:hAnsi="Arial" w:cs="Arial" w:hint="eastAsia"/>
          <w:color w:val="0000FF"/>
          <w:u w:val="single"/>
        </w:rPr>
        <w:t>foss@huawei.com</w:t>
      </w:r>
    </w:p>
    <w:p w:rsidR="00C96E56" w:rsidRDefault="004D073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C96E56" w:rsidRDefault="004D073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C96E56" w:rsidRDefault="004D0738">
      <w:pPr>
        <w:rPr>
          <w:rFonts w:ascii="Arial" w:hAnsi="Arial" w:cs="Arial"/>
          <w:color w:val="000000"/>
        </w:rPr>
      </w:pPr>
      <w:r>
        <w:rPr>
          <w:rFonts w:ascii="Arial" w:hAnsi="Arial" w:cs="Arial"/>
          <w:color w:val="000000"/>
        </w:rPr>
        <w:t>This offer is valid to anyone in receipt of this information.</w:t>
      </w:r>
    </w:p>
    <w:p w:rsidR="00C96E56" w:rsidRDefault="004D073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96E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738" w:rsidRDefault="004D0738">
      <w:pPr>
        <w:spacing w:line="240" w:lineRule="auto"/>
      </w:pPr>
      <w:r>
        <w:separator/>
      </w:r>
    </w:p>
  </w:endnote>
  <w:endnote w:type="continuationSeparator" w:id="0">
    <w:p w:rsidR="004D0738" w:rsidRDefault="004D07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96E56">
      <w:tc>
        <w:tcPr>
          <w:tcW w:w="1542" w:type="pct"/>
        </w:tcPr>
        <w:p w:rsidR="00C96E56" w:rsidRDefault="004D0738">
          <w:pPr>
            <w:pStyle w:val="a6"/>
          </w:pPr>
          <w:r>
            <w:fldChar w:fldCharType="begin"/>
          </w:r>
          <w:r>
            <w:instrText xml:space="preserve"> DATE \@ "yyyy-MM-dd" </w:instrText>
          </w:r>
          <w:r>
            <w:fldChar w:fldCharType="separate"/>
          </w:r>
          <w:r w:rsidR="00311D80">
            <w:rPr>
              <w:noProof/>
            </w:rPr>
            <w:t>2022-03-16</w:t>
          </w:r>
          <w:r>
            <w:fldChar w:fldCharType="end"/>
          </w:r>
        </w:p>
      </w:tc>
      <w:tc>
        <w:tcPr>
          <w:tcW w:w="1853" w:type="pct"/>
        </w:tcPr>
        <w:p w:rsidR="00C96E56" w:rsidRDefault="004D0738">
          <w:pPr>
            <w:pStyle w:val="a6"/>
            <w:ind w:firstLineChars="200" w:firstLine="360"/>
          </w:pPr>
          <w:r>
            <w:rPr>
              <w:rFonts w:hint="eastAsia"/>
            </w:rPr>
            <w:t>HUAWEI Confidential</w:t>
          </w:r>
        </w:p>
      </w:tc>
      <w:tc>
        <w:tcPr>
          <w:tcW w:w="1605" w:type="pct"/>
        </w:tcPr>
        <w:p w:rsidR="00C96E56" w:rsidRDefault="004D0738">
          <w:pPr>
            <w:pStyle w:val="a6"/>
            <w:ind w:firstLine="360"/>
            <w:jc w:val="right"/>
          </w:pPr>
          <w:r>
            <w:t>Page</w:t>
          </w:r>
          <w:r>
            <w:fldChar w:fldCharType="begin"/>
          </w:r>
          <w:r>
            <w:instrText>PAGE</w:instrText>
          </w:r>
          <w:r>
            <w:fldChar w:fldCharType="separate"/>
          </w:r>
          <w:r w:rsidR="00311D80">
            <w:rPr>
              <w:noProof/>
            </w:rPr>
            <w:t>6</w:t>
          </w:r>
          <w:r>
            <w:fldChar w:fldCharType="end"/>
          </w:r>
          <w:r>
            <w:t>, Total</w:t>
          </w:r>
          <w:r>
            <w:fldChar w:fldCharType="begin"/>
          </w:r>
          <w:r>
            <w:instrText xml:space="preserve"> NUMPAGES  \* Arabic  \* MERGEFORMAT </w:instrText>
          </w:r>
          <w:r>
            <w:fldChar w:fldCharType="separate"/>
          </w:r>
          <w:r w:rsidR="00311D80">
            <w:rPr>
              <w:noProof/>
            </w:rPr>
            <w:t>8</w:t>
          </w:r>
          <w:r>
            <w:fldChar w:fldCharType="end"/>
          </w:r>
        </w:p>
      </w:tc>
    </w:tr>
  </w:tbl>
  <w:p w:rsidR="00C96E56" w:rsidRDefault="00C96E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738" w:rsidRDefault="004D0738">
      <w:r>
        <w:separator/>
      </w:r>
    </w:p>
  </w:footnote>
  <w:footnote w:type="continuationSeparator" w:id="0">
    <w:p w:rsidR="004D0738" w:rsidRDefault="004D0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96E56">
      <w:trPr>
        <w:cantSplit/>
        <w:trHeight w:hRule="exact" w:val="777"/>
      </w:trPr>
      <w:tc>
        <w:tcPr>
          <w:tcW w:w="492" w:type="pct"/>
          <w:tcBorders>
            <w:bottom w:val="single" w:sz="6" w:space="0" w:color="auto"/>
          </w:tcBorders>
        </w:tcPr>
        <w:p w:rsidR="00C96E56" w:rsidRDefault="004D07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96E56" w:rsidRDefault="00C96E56">
          <w:pPr>
            <w:ind w:left="420"/>
          </w:pPr>
        </w:p>
      </w:tc>
      <w:tc>
        <w:tcPr>
          <w:tcW w:w="3283" w:type="pct"/>
          <w:tcBorders>
            <w:bottom w:val="single" w:sz="6" w:space="0" w:color="auto"/>
          </w:tcBorders>
          <w:vAlign w:val="bottom"/>
        </w:tcPr>
        <w:p w:rsidR="00C96E56" w:rsidRDefault="004D0738">
          <w:pPr>
            <w:pStyle w:val="a7"/>
            <w:ind w:firstLine="360"/>
          </w:pPr>
          <w:r>
            <w:t>OPEN SOURCE SOFTWARE NOTICE</w:t>
          </w:r>
        </w:p>
      </w:tc>
      <w:tc>
        <w:tcPr>
          <w:tcW w:w="1225" w:type="pct"/>
          <w:tcBorders>
            <w:bottom w:val="single" w:sz="6" w:space="0" w:color="auto"/>
          </w:tcBorders>
          <w:vAlign w:val="bottom"/>
        </w:tcPr>
        <w:p w:rsidR="00C96E56" w:rsidRDefault="00C96E56">
          <w:pPr>
            <w:pStyle w:val="a7"/>
            <w:ind w:firstLine="33"/>
          </w:pPr>
        </w:p>
      </w:tc>
    </w:tr>
  </w:tbl>
  <w:p w:rsidR="00C96E56" w:rsidRDefault="00C96E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1D80"/>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73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E5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6B357B-0528-4F87-BC8A-6C9F64DF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2911</Words>
  <Characters>16596</Characters>
  <Application>Microsoft Office Word</Application>
  <DocSecurity>0</DocSecurity>
  <Lines>138</Lines>
  <Paragraphs>38</Paragraphs>
  <ScaleCrop>false</ScaleCrop>
  <Company>Huawei Technologies Co.,Ltd.</Company>
  <LinksUpToDate>false</LinksUpToDate>
  <CharactersWithSpaces>19469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(3)I217GxL+5YiMRSLRCi9iZyxN0xAAQUn/PD4qoBB/I00jtYyqus8v1mL7wCaaku/4QBQ4z23k
chBKWd5MqMfVWAzymb0M78xlz/6nGoVAX4XuwYcPodZ1gx+qOOZk/Pyp4FsKJQaQinc2wL/8
5bwWhEeyl3ruIk997D9QTZMog/LWZ0DBGfgrtCG449jzdJ2yKMKWXeTFSOyc8X/KnGyiL7Gn
fIjrzxL2RujbyvNKPl</vt:lpwstr>
  </property>
  <property fmtid="{D5CDD505-2E9C-101B-9397-08002B2CF9AE}" pid="11" name="_2015_ms_pID_7253431">
    <vt:lpwstr>kDdzgFIbqwGMV64jv7m0AT2tuAqi29arPBnpYS3wvoZ/vl6GzKdyG1
z+kMPSf0t8hp55PHN4rY/LihwPn+NGs2R4MuD72xWLg0sqGgf+Vnw5h2xKU/7Qo2l7xe9HEl
sjXAL3ejLdyJrfhzFRDFdCSQ90rRyx//6OOEsHG0ZaJFXJwjndalC0YgbhxGoGFMvYBEn0Ux
pRlZSAnwGF1drcvtvoaFE8Zg5SpFsUbKew/L</vt:lpwstr>
  </property>
  <property fmtid="{D5CDD505-2E9C-101B-9397-08002B2CF9AE}" pid="12" name="_2015_ms_pID_7253432">
    <vt:lpwstr>+AJlb42n08Ghq8c+HV5pBEi3uJTMo5FZfano
CAZODgoYhjwAqMji0Oz2suBQi73nhHCR/e1fPac693FnUaQcA0o=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1647419452</vt:lpwstr>
  </property>
</Properties>
</file>